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A946EA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A946EA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  <w:bookmarkStart w:id="0" w:name="_GoBack"/>
      <w:bookmarkEnd w:id="0"/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97568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 w:rsidRPr="00975681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</w:t>
      </w:r>
      <w:r w:rsidR="00975681" w:rsidRPr="00975681">
        <w:rPr>
          <w:rFonts w:asciiTheme="majorBidi" w:hAnsiTheme="majorBidi" w:cstheme="majorBidi"/>
          <w:b/>
          <w:bCs/>
          <w:sz w:val="32"/>
          <w:szCs w:val="32"/>
        </w:rPr>
        <w:t xml:space="preserve">la cinquante-deuxième (52 ème)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sessionde la Commission UniversitaireNationale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pédagogiques réaliséespar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927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37"/>
        <w:gridCol w:w="1405"/>
        <w:gridCol w:w="1209"/>
        <w:gridCol w:w="1462"/>
        <w:gridCol w:w="1168"/>
        <w:gridCol w:w="881"/>
        <w:gridCol w:w="877"/>
        <w:gridCol w:w="732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210"/>
        <w:gridCol w:w="2527"/>
        <w:gridCol w:w="1771"/>
        <w:gridCol w:w="1121"/>
        <w:gridCol w:w="1166"/>
        <w:gridCol w:w="124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185"/>
        <w:gridCol w:w="1860"/>
        <w:gridCol w:w="1771"/>
        <w:gridCol w:w="1258"/>
        <w:gridCol w:w="2443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867"/>
        <w:gridCol w:w="2179"/>
        <w:gridCol w:w="1987"/>
        <w:gridCol w:w="2413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669"/>
        <w:gridCol w:w="1416"/>
        <w:gridCol w:w="2126"/>
        <w:gridCol w:w="3258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352"/>
        <w:gridCol w:w="2669"/>
        <w:gridCol w:w="2752"/>
        <w:gridCol w:w="1958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211"/>
        <w:gridCol w:w="2467"/>
        <w:gridCol w:w="2752"/>
        <w:gridCol w:w="1747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473"/>
        <w:gridCol w:w="2051"/>
        <w:gridCol w:w="1758"/>
        <w:gridCol w:w="1313"/>
        <w:gridCol w:w="1464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2.3.2. Communications Nationales: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2.5 .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Structure ouorganisme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5213"/>
        <w:gridCol w:w="1569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2830"/>
        <w:gridCol w:w="2152"/>
        <w:gridCol w:w="1728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EC5AD3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universitaireou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facultéou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sectPr w:rsidR="00B47ADB" w:rsidRPr="00E409E7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91" w:rsidRDefault="00D45C91">
      <w:r>
        <w:separator/>
      </w:r>
    </w:p>
  </w:endnote>
  <w:endnote w:type="continuationSeparator" w:id="1">
    <w:p w:rsidR="00D45C91" w:rsidRDefault="00D4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A946EA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A946EA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E0207D" w:rsidRPr="00E0207D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9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91" w:rsidRDefault="00D45C91">
      <w:r>
        <w:separator/>
      </w:r>
    </w:p>
  </w:footnote>
  <w:footnote w:type="continuationSeparator" w:id="1">
    <w:p w:rsidR="00D45C91" w:rsidRDefault="00D45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65pt;height:8.65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5pt;height:11.5pt" o:bullet="t">
        <v:imagedata r:id="rId2" o:title="BD14866_"/>
      </v:shape>
    </w:pict>
  </w:numPicBullet>
  <w:numPicBullet w:numPicBulletId="5">
    <w:pict>
      <v:shape id="_x0000_i1038" type="#_x0000_t75" style="width:8.65pt;height:8.65pt" o:bullet="t">
        <v:imagedata r:id="rId3" o:title="BD14870_"/>
      </v:shape>
    </w:pict>
  </w:numPicBullet>
  <w:numPicBullet w:numPicBulletId="6">
    <w:pict>
      <v:shape id="_x0000_i1039" type="#_x0000_t75" style="width:11.5pt;height:11.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5F1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55C37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75681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6EA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5C91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07D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5AD3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F5CD-1432-4E60-B374-E7CDED78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1104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>By TKoP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Crash</cp:lastModifiedBy>
  <cp:revision>2</cp:revision>
  <cp:lastPrinted>2025-05-18T16:06:00Z</cp:lastPrinted>
  <dcterms:created xsi:type="dcterms:W3CDTF">2025-05-19T09:13:00Z</dcterms:created>
  <dcterms:modified xsi:type="dcterms:W3CDTF">2025-05-19T09:13:00Z</dcterms:modified>
</cp:coreProperties>
</file>